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7BD" w:rsidRDefault="004647BD">
      <w:pPr>
        <w:keepNext/>
        <w:pBdr>
          <w:top w:val="nil"/>
          <w:left w:val="nil"/>
          <w:bottom w:val="nil"/>
          <w:right w:val="nil"/>
          <w:between w:val="nil"/>
        </w:pBdr>
        <w:ind w:left="0"/>
        <w:jc w:val="left"/>
        <w:rPr>
          <w:b/>
          <w:color w:val="000000"/>
          <w:sz w:val="32"/>
          <w:szCs w:val="32"/>
        </w:rPr>
      </w:pPr>
      <w:bookmarkStart w:id="0" w:name="_GoBack"/>
      <w:bookmarkEnd w:id="0"/>
    </w:p>
    <w:p w:rsidR="004647BD" w:rsidRDefault="00221D25">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bookmarkStart w:id="1" w:name="_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"BCDR Plan"</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2.2 of this Schedule;</w:t>
            </w:r>
          </w:p>
        </w:tc>
      </w:tr>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"Business Continuity Plan"</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2.3.2 of this Schedule;</w:t>
            </w:r>
          </w:p>
        </w:tc>
      </w:tr>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Deliverables"</w:t>
            </w:r>
          </w:p>
        </w:tc>
        <w:tc>
          <w:tcPr>
            <w:tcW w:w="5075" w:type="dxa"/>
          </w:tcPr>
          <w:p w:rsidR="004647BD" w:rsidRDefault="00221D25">
            <w:pPr>
              <w:numPr>
                <w:ilvl w:val="0"/>
                <w:numId w:val="2"/>
              </w:numPr>
              <w:pBdr>
                <w:top w:val="nil"/>
                <w:left w:val="nil"/>
                <w:bottom w:val="nil"/>
                <w:right w:val="nil"/>
                <w:between w:val="nil"/>
              </w:pBdr>
              <w:tabs>
                <w:tab w:val="left" w:pos="-179"/>
              </w:tabs>
              <w:spacing w:after="120"/>
              <w:jc w:val="left"/>
              <w:rPr>
                <w:color w:val="000000"/>
              </w:rPr>
            </w:pPr>
            <w:r>
              <w:rPr>
                <w:color w:val="000000"/>
                <w:sz w:val="24"/>
                <w:szCs w:val="24"/>
              </w:rPr>
              <w:t>the Deliverables embodied in the processes and procedures for restoring the provision of Deliverables following the occurrence of a Disaster;</w:t>
            </w:r>
          </w:p>
        </w:tc>
      </w:tr>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Plan"</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2.3.3 of this Schedule;</w:t>
            </w:r>
          </w:p>
        </w:tc>
      </w:tr>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"Disaster Recovery System"</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the system embodied in the processes and procedures for restoring the provision of Deliverables following the occurrence of a Disaster;</w:t>
            </w:r>
          </w:p>
        </w:tc>
      </w:tr>
      <w:tr w:rsidR="004647BD">
        <w:trPr>
          <w:trHeight w:val="567"/>
        </w:trPr>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"Related Supplier"</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any person who provides Deliverables to the Buyer which are related to th</w:t>
            </w:r>
            <w:r>
              <w:rPr>
                <w:color w:val="000000"/>
                <w:sz w:val="24"/>
                <w:szCs w:val="24"/>
              </w:rPr>
              <w:t>e Deliverables from time to time;</w:t>
            </w:r>
          </w:p>
        </w:tc>
      </w:tr>
      <w:tr w:rsidR="004647BD">
        <w:trPr>
          <w:trHeight w:val="567"/>
        </w:trPr>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"Review Report"</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 and</w:t>
            </w:r>
          </w:p>
        </w:tc>
      </w:tr>
      <w:tr w:rsidR="004647BD">
        <w:tc>
          <w:tcPr>
            <w:tcW w:w="3097" w:type="dxa"/>
          </w:tcPr>
          <w:p w:rsidR="004647BD" w:rsidRDefault="00221D25">
            <w:pPr>
              <w:pBdr>
                <w:top w:val="nil"/>
                <w:left w:val="nil"/>
                <w:bottom w:val="nil"/>
                <w:right w:val="nil"/>
                <w:between w:val="nil"/>
              </w:pBdr>
              <w:spacing w:after="120"/>
              <w:ind w:left="-108" w:firstLine="108"/>
              <w:jc w:val="left"/>
              <w:rPr>
                <w:b/>
                <w:color w:val="000000"/>
                <w:sz w:val="24"/>
                <w:szCs w:val="24"/>
              </w:rPr>
            </w:pPr>
            <w:r>
              <w:rPr>
                <w:b/>
                <w:color w:val="000000"/>
                <w:sz w:val="24"/>
                <w:szCs w:val="24"/>
              </w:rPr>
              <w:t>"Supplier's Proposals"</w:t>
            </w:r>
          </w:p>
        </w:tc>
        <w:tc>
          <w:tcPr>
            <w:tcW w:w="5075" w:type="dxa"/>
          </w:tcPr>
          <w:p w:rsidR="004647BD" w:rsidRDefault="00221D25">
            <w:pPr>
              <w:numPr>
                <w:ilvl w:val="0"/>
                <w:numId w:val="2"/>
              </w:numPr>
              <w:pBdr>
                <w:top w:val="nil"/>
                <w:left w:val="nil"/>
                <w:bottom w:val="nil"/>
                <w:right w:val="nil"/>
                <w:between w:val="nil"/>
              </w:pBdr>
              <w:tabs>
                <w:tab w:val="left" w:pos="-9"/>
              </w:tabs>
              <w:spacing w:after="120"/>
              <w:jc w:val="left"/>
              <w:rPr>
                <w:color w:val="000000"/>
              </w:rPr>
            </w:pPr>
            <w:r>
              <w:rPr>
                <w:color w:val="000000"/>
                <w:sz w:val="24"/>
                <w:szCs w:val="24"/>
              </w:rPr>
              <w:t>has the meaning given to it in Paragraph 6.3 of this Schedule;</w:t>
            </w:r>
          </w:p>
        </w:tc>
      </w:tr>
    </w:tbl>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BCDR Plan</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2" w:name="_30j0zll" w:colFirst="0" w:colLast="0"/>
      <w:bookmarkEnd w:id="2"/>
      <w:r>
        <w:rPr>
          <w:color w:val="000000"/>
          <w:sz w:val="24"/>
          <w:szCs w:val="24"/>
        </w:rPr>
        <w:t>The Buyer and the Supplier recognise that, where specified in Schedule 4 (Framework Management), CCS shall have the right to enforce the Buyer's rights under this Schedule.</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At least ninety (90) Working Days prior to the Start Date the Supplier shall prepar</w:t>
      </w:r>
      <w:r>
        <w:rPr>
          <w:color w:val="000000"/>
          <w:sz w:val="24"/>
          <w:szCs w:val="24"/>
        </w:rPr>
        <w:t xml:space="preserve">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ensure continuity of the business processes and operations supported by the Services following any failure or disruption of any element of the Deliverables;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 xml:space="preserve">the recovery of the Deliverables in the event of a Disaster </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divided into three sections: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3" w:name="_1fob9te" w:colFirst="0" w:colLast="0"/>
      <w:bookmarkEnd w:id="3"/>
      <w:r>
        <w:rPr>
          <w:color w:val="000000"/>
          <w:sz w:val="24"/>
          <w:szCs w:val="24"/>
        </w:rPr>
        <w:t xml:space="preserve">Section 1 which shall set out general principles applicable to the BCDR Plan; </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4" w:name="_3znysh7" w:colFirst="0" w:colLast="0"/>
      <w:bookmarkEnd w:id="4"/>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5" w:name="_2et92p0" w:colFirst="0" w:colLast="0"/>
      <w:bookmarkEnd w:id="5"/>
      <w:r>
        <w:rPr>
          <w:color w:val="000000"/>
          <w:sz w:val="24"/>
          <w:szCs w:val="24"/>
        </w:rPr>
        <w:t>Section 3 which shall relate to dis</w:t>
      </w:r>
      <w:r>
        <w:rPr>
          <w:color w:val="000000"/>
          <w:sz w:val="24"/>
          <w:szCs w:val="24"/>
        </w:rPr>
        <w:t xml:space="preserve">aster recovery (the </w:t>
      </w:r>
      <w:r>
        <w:rPr>
          <w:b/>
          <w:color w:val="000000"/>
          <w:sz w:val="24"/>
          <w:szCs w:val="24"/>
        </w:rPr>
        <w:t>"Disaster Recovery Plan"</w:t>
      </w:r>
      <w:r>
        <w:rPr>
          <w:color w:val="000000"/>
          <w:sz w:val="24"/>
          <w:szCs w:val="24"/>
        </w:rPr>
        <w:t>).</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6" w:name="_tyjcwt" w:colFirst="0" w:colLast="0"/>
      <w:bookmarkEnd w:id="6"/>
      <w:r>
        <w:rPr>
          <w:color w:val="000000"/>
          <w:sz w:val="24"/>
          <w:szCs w:val="24"/>
        </w:rPr>
        <w:t xml:space="preserve">Following receipt of the draft BCDR Plan from the Supplier, the Parties shall use reasonable endeavours to agree the contents of the BCDR Plan. If the Parties are unable to agree the contents of the BCDR Plan </w:t>
      </w:r>
      <w:r>
        <w:rPr>
          <w:color w:val="000000"/>
          <w:sz w:val="24"/>
          <w:szCs w:val="24"/>
        </w:rPr>
        <w:t>within twenty (20) Working Days of its submission, then such Dispute shall be resolved in accordance with the Dispute Resolution Procedure.</w:t>
      </w:r>
    </w:p>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bookmarkStart w:id="7" w:name="_3dy6vkm" w:colFirst="0" w:colLast="0"/>
      <w:bookmarkEnd w:id="7"/>
      <w:r>
        <w:rPr>
          <w:rFonts w:ascii="Arial Bold" w:eastAsia="Arial Bold" w:hAnsi="Arial Bold" w:cs="Arial Bold"/>
          <w:b/>
          <w:color w:val="000000"/>
          <w:sz w:val="24"/>
          <w:szCs w:val="24"/>
        </w:rPr>
        <w:t>General Principles of the BCDR Plan (Section 1)</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Section 1 of the BCDR Plan shall:</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how the business continuity and disaster recovery elements of the BCDR Plan link to each other;</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an obligation upon the Supplier to liaise with the Buyer and any Related Suppliers with respect to business continuity and disaster recovery;</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8" w:name="_1t3h5sf" w:colFirst="0" w:colLast="0"/>
      <w:bookmarkEnd w:id="8"/>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rsidR="004647BD" w:rsidRDefault="00221D25">
      <w:pPr>
        <w:keepNext/>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risk analysis, including:</w:t>
      </w:r>
    </w:p>
    <w:p w:rsidR="004647BD" w:rsidRDefault="00221D25">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failure or disruption scenarios and assessments of likely frequency of occurrence;</w:t>
      </w:r>
    </w:p>
    <w:p w:rsidR="004647BD" w:rsidRDefault="00221D25">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any single points of failure within the provision of Deliverables and processes for managing those risks;</w:t>
      </w:r>
    </w:p>
    <w:p w:rsidR="004647BD" w:rsidRDefault="00221D25">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risks arising from the interaction of the provision of Deliverables with the goods and/or services provided by a R</w:t>
      </w:r>
      <w:r>
        <w:rPr>
          <w:color w:val="000000"/>
          <w:sz w:val="24"/>
          <w:szCs w:val="24"/>
        </w:rPr>
        <w:t>elated Supplier; and</w:t>
      </w:r>
    </w:p>
    <w:p w:rsidR="004647BD" w:rsidRDefault="00221D25">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 business impact analysis of different anticipated failures or disruptions;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provide for documentation of processes, including business processes, and procedures;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key contact details for the Supplier (and any Subcontractors) an</w:t>
      </w:r>
      <w:r>
        <w:rPr>
          <w:color w:val="000000"/>
          <w:sz w:val="24"/>
          <w:szCs w:val="24"/>
        </w:rPr>
        <w:t>d for the Buyer;</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procedures for reverting to "normal service";</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method(s) of recovering or updating data collected (or which ought to have been collected) during a failure or disruption to minimise data loss;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responsibilities (if any) that the Buyer has agreed it will assume in the event of the invocation of the BCDR Plan;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provide</w:t>
      </w:r>
      <w:proofErr w:type="gramEnd"/>
      <w:r>
        <w:rPr>
          <w:color w:val="000000"/>
          <w:sz w:val="24"/>
          <w:szCs w:val="24"/>
        </w:rPr>
        <w:t xml:space="preserve"> for the provision of technical assistance to key contacts at the Buyer as required by the Buyer to inform decisions</w:t>
      </w:r>
      <w:r>
        <w:rPr>
          <w:color w:val="000000"/>
          <w:sz w:val="24"/>
          <w:szCs w:val="24"/>
        </w:rPr>
        <w:t xml:space="preserve"> in support of the Buyer’s business continuity plans.</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designed so as to ensure that:</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Deliverables are provided in accordance with this Contract at all times during and after the invocation of the BCDR Plan;</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adverse impact of </w:t>
      </w:r>
      <w:r>
        <w:rPr>
          <w:color w:val="000000"/>
          <w:sz w:val="24"/>
          <w:szCs w:val="24"/>
        </w:rPr>
        <w:t xml:space="preserve">any Disaster is minimised as far as reasonably possible; </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complies with the relevant provisions of ISO/IEC 27002; ISO22301/ISO22313   and all other industry standards from time to time in force;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it</w:t>
      </w:r>
      <w:proofErr w:type="gramEnd"/>
      <w:r>
        <w:rPr>
          <w:color w:val="000000"/>
          <w:sz w:val="24"/>
          <w:szCs w:val="24"/>
        </w:rPr>
        <w:t xml:space="preserve"> details a process for the management of disaster re</w:t>
      </w:r>
      <w:r>
        <w:rPr>
          <w:color w:val="000000"/>
          <w:sz w:val="24"/>
          <w:szCs w:val="24"/>
        </w:rPr>
        <w:t>covery testing.</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Business Continuity (Section 2)</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9" w:name="_4d34og8" w:colFirst="0" w:colLast="0"/>
      <w:bookmarkEnd w:id="9"/>
      <w:r>
        <w:rPr>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color w:val="000000"/>
          <w:sz w:val="24"/>
          <w:szCs w:val="24"/>
        </w:rPr>
        <w:t>business operations supported by the Services including:</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alternative processes, options and responsibilities that may be adopted in the event of a failure in or disruption to the provision of Deliverables;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the</w:t>
      </w:r>
      <w:proofErr w:type="gramEnd"/>
      <w:r>
        <w:rPr>
          <w:color w:val="000000"/>
          <w:sz w:val="24"/>
          <w:szCs w:val="24"/>
        </w:rPr>
        <w:t xml:space="preserve"> steps to be taken by the Supplier upon</w:t>
      </w:r>
      <w:r>
        <w:rPr>
          <w:color w:val="000000"/>
          <w:sz w:val="24"/>
          <w:szCs w:val="24"/>
        </w:rPr>
        <w:t xml:space="preserve"> resumption of the provision of Deliverables in order to address the effect of the failure or disruption.</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lastRenderedPageBreak/>
        <w:t>The Business Continuity Plan shall:</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address the various possible levels of failures of or disruptions to the provision of Deliverables;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0" w:name="_2s8eyo1" w:colFirst="0" w:colLast="0"/>
      <w:bookmarkEnd w:id="10"/>
      <w:r>
        <w:rPr>
          <w:color w:val="000000"/>
          <w:sz w:val="24"/>
          <w:szCs w:val="24"/>
        </w:rPr>
        <w:t>set out the goods and/or services to be provided and the steps to be taken to remedy the different levels of failures of and disruption to the Deliverables;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set</w:t>
      </w:r>
      <w:proofErr w:type="gramEnd"/>
      <w:r>
        <w:rPr>
          <w:color w:val="000000"/>
          <w:sz w:val="24"/>
          <w:szCs w:val="24"/>
        </w:rPr>
        <w:t xml:space="preserve"> out the circumstances in whi</w:t>
      </w:r>
      <w:r>
        <w:rPr>
          <w:color w:val="000000"/>
          <w:sz w:val="24"/>
          <w:szCs w:val="24"/>
        </w:rPr>
        <w:t>ch the Business Continuity Plan is invoked.</w:t>
      </w:r>
    </w:p>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Disaster Recovery (Section 3)</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11" w:name="_17dp8vu" w:colFirst="0" w:colLast="0"/>
      <w:bookmarkEnd w:id="11"/>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access to the Buyer Premises;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utilities to the Buyer Premises;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the Supplier's helpdesk or CAFM system;</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loss of a Subcontractor;</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emergency notification and escalation process;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contact lists;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staff training and awareness;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BCDR Plan testing; </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post implementation review process; </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access controls to any disaster recovery sites used by the Supplier in relation to its obligations pursuant to this Schedule;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testing</w:t>
      </w:r>
      <w:proofErr w:type="gramEnd"/>
      <w:r>
        <w:rPr>
          <w:color w:val="000000"/>
          <w:sz w:val="24"/>
          <w:szCs w:val="24"/>
        </w:rPr>
        <w:t xml:space="preserve"> and management arrangements.</w:t>
      </w:r>
    </w:p>
    <w:p w:rsidR="004647BD" w:rsidRDefault="00221D25">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Review and changing the BCDR Plan</w:t>
      </w:r>
    </w:p>
    <w:p w:rsidR="004647BD" w:rsidRDefault="00221D25">
      <w:pPr>
        <w:keepNext/>
        <w:numPr>
          <w:ilvl w:val="1"/>
          <w:numId w:val="1"/>
        </w:numPr>
        <w:pBdr>
          <w:top w:val="nil"/>
          <w:left w:val="nil"/>
          <w:bottom w:val="nil"/>
          <w:right w:val="nil"/>
          <w:between w:val="nil"/>
        </w:pBdr>
        <w:spacing w:before="120" w:after="120"/>
        <w:jc w:val="left"/>
        <w:rPr>
          <w:sz w:val="24"/>
          <w:szCs w:val="24"/>
        </w:rPr>
      </w:pPr>
      <w:bookmarkStart w:id="12" w:name="_3rdcrjn" w:colFirst="0" w:colLast="0"/>
      <w:bookmarkEnd w:id="12"/>
      <w:r>
        <w:rPr>
          <w:color w:val="000000"/>
          <w:sz w:val="24"/>
          <w:szCs w:val="24"/>
        </w:rPr>
        <w:t>The Supplier shall review the BCDR Plan:</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3" w:name="_26in1rg" w:colFirst="0" w:colLast="0"/>
      <w:bookmarkEnd w:id="13"/>
      <w:r>
        <w:rPr>
          <w:color w:val="000000"/>
          <w:sz w:val="24"/>
          <w:szCs w:val="24"/>
        </w:rPr>
        <w:t>on a regular basis and as a minimum once every six (6) Months;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4" w:name="_lnxbz9" w:colFirst="0" w:colLast="0"/>
      <w:bookmarkEnd w:id="14"/>
      <w:r>
        <w:rPr>
          <w:color w:val="000000"/>
          <w:sz w:val="24"/>
          <w:szCs w:val="24"/>
        </w:rPr>
        <w:t>within three (3) calendar Months of the BCDR Plan (or any part) having been invoked pursuant to Paragraph 7;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5" w:name="_35nkun2" w:colFirst="0" w:colLast="0"/>
      <w:bookmarkEnd w:id="15"/>
      <w:proofErr w:type="gramStart"/>
      <w:r>
        <w:rPr>
          <w:color w:val="000000"/>
          <w:sz w:val="24"/>
          <w:szCs w:val="24"/>
        </w:rPr>
        <w:t>where</w:t>
      </w:r>
      <w:proofErr w:type="gramEnd"/>
      <w:r>
        <w:rPr>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w:t>
      </w:r>
      <w:r>
        <w:rPr>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16" w:name="_1ksv4uv" w:colFirst="0" w:colLast="0"/>
      <w:bookmarkEnd w:id="16"/>
      <w:r>
        <w:rPr>
          <w:color w:val="000000"/>
          <w:sz w:val="24"/>
          <w:szCs w:val="24"/>
        </w:rPr>
        <w:t>Each review of the BCDR Plan pursuant to Paragraph 6.1 shall assess its suitability having regard to any change to the Deliv</w:t>
      </w:r>
      <w:r>
        <w:rPr>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color w:val="000000"/>
          <w:sz w:val="24"/>
          <w:szCs w:val="24"/>
        </w:rPr>
        <w:t xml:space="preserve">the Buyer shall reasonably require.  </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17" w:name="_44sinio" w:colFirst="0" w:colLast="0"/>
      <w:bookmarkEnd w:id="17"/>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w:t>
      </w:r>
      <w:r>
        <w:rPr>
          <w:b/>
          <w:color w:val="000000"/>
          <w:sz w:val="24"/>
          <w:szCs w:val="24"/>
        </w:rPr>
        <w:t>als"</w:t>
      </w:r>
      <w:r>
        <w:rPr>
          <w:color w:val="000000"/>
          <w:sz w:val="24"/>
          <w:szCs w:val="24"/>
        </w:rPr>
        <w:t>) for addressing any changes in the risk profile and its proposals for amendments to the BCDR Plan.</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18" w:name="_2jxsxqh" w:colFirst="0" w:colLast="0"/>
      <w:bookmarkEnd w:id="18"/>
      <w:r>
        <w:rPr>
          <w:color w:val="000000"/>
          <w:sz w:val="24"/>
          <w:szCs w:val="24"/>
        </w:rPr>
        <w:t>Following receipt of the Review Report and the Supplier’s Proposals, the Parties shall use reasonable endeavours to agree the Review Report and the Supp</w:t>
      </w:r>
      <w:r>
        <w:rPr>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w:t>
      </w:r>
      <w:r>
        <w:rPr>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color w:val="000000"/>
          <w:sz w:val="24"/>
          <w:szCs w:val="24"/>
        </w:rPr>
        <w:t xml:space="preserve">less it can be reasonably </w:t>
      </w:r>
      <w:r>
        <w:rPr>
          <w:color w:val="000000"/>
          <w:sz w:val="24"/>
          <w:szCs w:val="24"/>
        </w:rPr>
        <w:lastRenderedPageBreak/>
        <w:t>shown that the changes are required because of a material change to the risk profile of the Deliverables.</w:t>
      </w:r>
    </w:p>
    <w:p w:rsidR="004647BD" w:rsidRDefault="00221D25">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sz w:val="24"/>
          <w:szCs w:val="24"/>
        </w:rPr>
      </w:pPr>
      <w:bookmarkStart w:id="19" w:name="_z337ya" w:colFirst="0" w:colLast="0"/>
      <w:bookmarkEnd w:id="19"/>
      <w:r>
        <w:rPr>
          <w:rFonts w:ascii="Arial Bold" w:eastAsia="Arial Bold" w:hAnsi="Arial Bold" w:cs="Arial Bold"/>
          <w:b/>
          <w:color w:val="000000"/>
          <w:sz w:val="24"/>
          <w:szCs w:val="24"/>
        </w:rPr>
        <w:t>Testing the BCDR Plan</w:t>
      </w:r>
    </w:p>
    <w:p w:rsidR="004647BD" w:rsidRDefault="00221D25">
      <w:pPr>
        <w:keepNext/>
        <w:numPr>
          <w:ilvl w:val="1"/>
          <w:numId w:val="1"/>
        </w:numPr>
        <w:pBdr>
          <w:top w:val="nil"/>
          <w:left w:val="nil"/>
          <w:bottom w:val="nil"/>
          <w:right w:val="nil"/>
          <w:between w:val="nil"/>
        </w:pBdr>
        <w:spacing w:before="120" w:after="120"/>
        <w:jc w:val="left"/>
        <w:rPr>
          <w:sz w:val="24"/>
          <w:szCs w:val="24"/>
        </w:rPr>
      </w:pPr>
      <w:bookmarkStart w:id="20" w:name="_3j2qqm3" w:colFirst="0" w:colLast="0"/>
      <w:bookmarkEnd w:id="20"/>
      <w:r>
        <w:rPr>
          <w:color w:val="000000"/>
          <w:sz w:val="24"/>
          <w:szCs w:val="24"/>
        </w:rPr>
        <w:t xml:space="preserve">The Supplier shall test the BCDR Plan: </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regularly and in any event not less than once in every Contract Year;</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in the event of any major reconfiguration of the Deliverables</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at</w:t>
      </w:r>
      <w:proofErr w:type="gramEnd"/>
      <w:r>
        <w:rPr>
          <w:color w:val="000000"/>
          <w:sz w:val="24"/>
          <w:szCs w:val="24"/>
        </w:rPr>
        <w:t xml:space="preserve"> any time where the Buyer considers it necessary (acting in its sole discretion).  </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21" w:name="_1y810tw" w:colFirst="0" w:colLast="0"/>
      <w:bookmarkEnd w:id="21"/>
      <w:r>
        <w:rPr>
          <w:color w:val="000000"/>
          <w:sz w:val="24"/>
          <w:szCs w:val="24"/>
        </w:rPr>
        <w:t>If the Buyer requires an additional te</w:t>
      </w:r>
      <w:r>
        <w:rPr>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color w:val="000000"/>
          <w:sz w:val="24"/>
          <w:szCs w:val="24"/>
        </w:rPr>
        <w:t>the Buyer unless the BCDR Plan fails the additional test in which case the Supplier's costs of that failed test shall be borne by the Supplier.</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undertake and manage testing of the BCDR Plan in full consultation with and under the supervi</w:t>
      </w:r>
      <w:r>
        <w:rPr>
          <w:color w:val="000000"/>
          <w:sz w:val="24"/>
          <w:szCs w:val="24"/>
        </w:rPr>
        <w:t xml:space="preserve">sion of the Buyer and shall liaise with the Buyer in respect of the planning, performance, and review, of each test, and shall comply with the reasonable requirements of the Buyer. </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ensure that any use by it or any Subcontractor of "live</w:t>
      </w:r>
      <w:r>
        <w:rPr>
          <w:color w:val="000000"/>
          <w:sz w:val="24"/>
          <w:szCs w:val="24"/>
        </w:rPr>
        <w:t>" data in such testing is first approved with the Buyer. Copies of live test data used in any such testing shall be (if so required by the Buyer) destroyed or returned to the Buyer on completion of the test.</w:t>
      </w:r>
    </w:p>
    <w:p w:rsidR="004647BD" w:rsidRDefault="00221D25">
      <w:pPr>
        <w:keepNext/>
        <w:numPr>
          <w:ilvl w:val="1"/>
          <w:numId w:val="1"/>
        </w:numPr>
        <w:pBdr>
          <w:top w:val="nil"/>
          <w:left w:val="nil"/>
          <w:bottom w:val="nil"/>
          <w:right w:val="nil"/>
          <w:between w:val="nil"/>
        </w:pBdr>
        <w:spacing w:before="120" w:after="120"/>
        <w:jc w:val="left"/>
        <w:rPr>
          <w:sz w:val="24"/>
          <w:szCs w:val="24"/>
        </w:rPr>
      </w:pPr>
      <w:r>
        <w:rPr>
          <w:color w:val="000000"/>
          <w:sz w:val="24"/>
          <w:szCs w:val="24"/>
        </w:rPr>
        <w:t>The Supplier shall, within twenty (20) Working D</w:t>
      </w:r>
      <w:r>
        <w:rPr>
          <w:color w:val="000000"/>
          <w:sz w:val="24"/>
          <w:szCs w:val="24"/>
        </w:rPr>
        <w:t>ays of the conclusion of each test, provide to the Buyer a report setting out:</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outcome of the test;</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failures in the BCDR Plan (including the BCDR Plan's procedures) revealed by the test; and</w:t>
      </w:r>
    </w:p>
    <w:p w:rsidR="004647BD" w:rsidRDefault="00221D25">
      <w:pPr>
        <w:numPr>
          <w:ilvl w:val="2"/>
          <w:numId w:val="1"/>
        </w:numPr>
        <w:pBdr>
          <w:top w:val="nil"/>
          <w:left w:val="nil"/>
          <w:bottom w:val="nil"/>
          <w:right w:val="nil"/>
          <w:between w:val="nil"/>
        </w:pBdr>
        <w:tabs>
          <w:tab w:val="left" w:pos="1985"/>
          <w:tab w:val="left" w:pos="2127"/>
        </w:tabs>
        <w:spacing w:before="120" w:after="120"/>
        <w:jc w:val="left"/>
        <w:rPr>
          <w:sz w:val="24"/>
          <w:szCs w:val="24"/>
        </w:rPr>
      </w:pPr>
      <w:proofErr w:type="gramStart"/>
      <w:r>
        <w:rPr>
          <w:color w:val="000000"/>
          <w:sz w:val="24"/>
          <w:szCs w:val="24"/>
        </w:rPr>
        <w:t>the</w:t>
      </w:r>
      <w:proofErr w:type="gramEnd"/>
      <w:r>
        <w:rPr>
          <w:color w:val="000000"/>
          <w:sz w:val="24"/>
          <w:szCs w:val="24"/>
        </w:rPr>
        <w:t xml:space="preserve"> Supplier's proposals for remedying any such failures.</w:t>
      </w:r>
    </w:p>
    <w:p w:rsidR="004647BD" w:rsidRDefault="00221D25">
      <w:pPr>
        <w:numPr>
          <w:ilvl w:val="1"/>
          <w:numId w:val="1"/>
        </w:numPr>
        <w:pBdr>
          <w:top w:val="nil"/>
          <w:left w:val="nil"/>
          <w:bottom w:val="nil"/>
          <w:right w:val="nil"/>
          <w:between w:val="nil"/>
        </w:pBdr>
        <w:spacing w:before="120" w:after="120"/>
        <w:jc w:val="left"/>
        <w:rPr>
          <w:sz w:val="24"/>
          <w:szCs w:val="24"/>
        </w:rPr>
      </w:pPr>
      <w:bookmarkStart w:id="22" w:name="_4i7ojhp" w:colFirst="0" w:colLast="0"/>
      <w:bookmarkEnd w:id="22"/>
      <w:r>
        <w:rPr>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color w:val="000000"/>
          <w:sz w:val="24"/>
          <w:szCs w:val="24"/>
        </w:rPr>
        <w:t>Buyer.</w:t>
      </w:r>
    </w:p>
    <w:p w:rsidR="004647BD" w:rsidRDefault="00221D25">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23" w:name="_2xcytpi" w:colFirst="0" w:colLast="0"/>
      <w:bookmarkEnd w:id="23"/>
      <w:r>
        <w:rPr>
          <w:rFonts w:ascii="Arial Bold" w:eastAsia="Arial Bold" w:hAnsi="Arial Bold" w:cs="Arial Bold"/>
          <w:b/>
          <w:color w:val="000000"/>
          <w:sz w:val="24"/>
          <w:szCs w:val="24"/>
        </w:rPr>
        <w:t>Invoking the BCDR Plan</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color w:val="000000"/>
          <w:sz w:val="24"/>
          <w:szCs w:val="24"/>
        </w:rPr>
        <w:t>invoke or test the BCDR Plan only with the prior consent of the Buyer.</w:t>
      </w:r>
    </w:p>
    <w:p w:rsidR="004647BD" w:rsidRDefault="00221D25">
      <w:pPr>
        <w:keepNext/>
        <w:numPr>
          <w:ilvl w:val="0"/>
          <w:numId w:val="1"/>
        </w:numPr>
        <w:pBdr>
          <w:top w:val="nil"/>
          <w:left w:val="nil"/>
          <w:bottom w:val="nil"/>
          <w:right w:val="nil"/>
          <w:between w:val="nil"/>
        </w:pBdr>
        <w:tabs>
          <w:tab w:val="left" w:pos="0"/>
        </w:tabs>
        <w:spacing w:before="240"/>
        <w:ind w:left="504"/>
        <w:jc w:val="left"/>
        <w:rPr>
          <w:b/>
          <w:sz w:val="24"/>
          <w:szCs w:val="24"/>
        </w:rPr>
      </w:pPr>
      <w:r>
        <w:rPr>
          <w:b/>
          <w:smallCaps/>
          <w:color w:val="000000"/>
          <w:sz w:val="24"/>
          <w:szCs w:val="24"/>
        </w:rPr>
        <w:lastRenderedPageBreak/>
        <w:t>C</w:t>
      </w:r>
      <w:r>
        <w:rPr>
          <w:rFonts w:ascii="Arial Bold" w:eastAsia="Arial Bold" w:hAnsi="Arial Bold" w:cs="Arial Bold"/>
          <w:b/>
          <w:color w:val="000000"/>
          <w:sz w:val="24"/>
          <w:szCs w:val="24"/>
        </w:rPr>
        <w:t>ircumstances beyond your control</w:t>
      </w:r>
    </w:p>
    <w:p w:rsidR="004647BD" w:rsidRDefault="00221D25">
      <w:pPr>
        <w:numPr>
          <w:ilvl w:val="1"/>
          <w:numId w:val="1"/>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4647BD">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D25" w:rsidRDefault="00221D25">
      <w:pPr>
        <w:spacing w:after="0"/>
      </w:pPr>
      <w:r>
        <w:separator/>
      </w:r>
    </w:p>
  </w:endnote>
  <w:endnote w:type="continuationSeparator" w:id="0">
    <w:p w:rsidR="00221D25" w:rsidRDefault="00221D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7BD" w:rsidRDefault="004647BD" w:rsidP="00BD0F03">
    <w:pPr>
      <w:tabs>
        <w:tab w:val="center" w:pos="4513"/>
        <w:tab w:val="right" w:pos="9026"/>
      </w:tabs>
      <w:spacing w:after="0"/>
      <w:ind w:left="1020"/>
      <w:rPr>
        <w:rFonts w:ascii="Calibri" w:eastAsia="Calibri" w:hAnsi="Calibri" w:cs="Calibri"/>
        <w:color w:val="A6A6A6"/>
      </w:rPr>
    </w:pPr>
  </w:p>
  <w:p w:rsidR="004647BD" w:rsidRDefault="00221D25" w:rsidP="00BD0F03">
    <w:pPr>
      <w:pBdr>
        <w:top w:val="nil"/>
        <w:left w:val="nil"/>
        <w:bottom w:val="nil"/>
        <w:right w:val="nil"/>
        <w:between w:val="nil"/>
      </w:pBdr>
      <w:tabs>
        <w:tab w:val="center" w:pos="4513"/>
        <w:tab w:val="right" w:pos="9026"/>
      </w:tabs>
      <w:spacing w:after="0"/>
      <w:ind w:left="1020" w:hanging="1418"/>
      <w:rPr>
        <w:color w:val="000000"/>
        <w:sz w:val="20"/>
        <w:szCs w:val="20"/>
      </w:rPr>
    </w:pPr>
    <w:r>
      <w:rPr>
        <w:color w:val="000000"/>
        <w:sz w:val="20"/>
        <w:szCs w:val="20"/>
      </w:rPr>
      <w:t>Framework Ref: RM6170 Print Management Services</w:t>
    </w:r>
  </w:p>
  <w:p w:rsidR="004647BD" w:rsidRDefault="00221D25" w:rsidP="00BD0F03">
    <w:pPr>
      <w:pBdr>
        <w:top w:val="nil"/>
        <w:left w:val="nil"/>
        <w:bottom w:val="nil"/>
        <w:right w:val="nil"/>
        <w:between w:val="nil"/>
      </w:pBdr>
      <w:tabs>
        <w:tab w:val="center" w:pos="4513"/>
        <w:tab w:val="right" w:pos="9026"/>
      </w:tabs>
      <w:spacing w:after="0"/>
      <w:ind w:left="1020" w:hanging="1418"/>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BD0F03">
      <w:rPr>
        <w:color w:val="000000"/>
        <w:sz w:val="20"/>
        <w:szCs w:val="20"/>
      </w:rPr>
      <w:fldChar w:fldCharType="separate"/>
    </w:r>
    <w:r w:rsidR="00BD0F03">
      <w:rPr>
        <w:noProof/>
        <w:color w:val="000000"/>
        <w:sz w:val="20"/>
        <w:szCs w:val="20"/>
      </w:rPr>
      <w:t>7</w:t>
    </w:r>
    <w:r>
      <w:rPr>
        <w:color w:val="000000"/>
        <w:sz w:val="20"/>
        <w:szCs w:val="20"/>
      </w:rPr>
      <w:fldChar w:fldCharType="end"/>
    </w:r>
  </w:p>
  <w:p w:rsidR="004647BD" w:rsidRDefault="00221D25" w:rsidP="00BD0F03">
    <w:pPr>
      <w:pBdr>
        <w:top w:val="nil"/>
        <w:left w:val="nil"/>
        <w:bottom w:val="nil"/>
        <w:right w:val="nil"/>
        <w:between w:val="nil"/>
      </w:pBdr>
      <w:tabs>
        <w:tab w:val="center" w:pos="4513"/>
        <w:tab w:val="right" w:pos="9026"/>
      </w:tabs>
      <w:spacing w:after="0"/>
      <w:ind w:left="1020" w:hanging="1418"/>
      <w:rPr>
        <w:color w:val="A6A6A6"/>
        <w:sz w:val="20"/>
        <w:szCs w:val="20"/>
      </w:rPr>
    </w:pPr>
    <w:r>
      <w:rPr>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7BD" w:rsidRDefault="00221D25">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rsidR="004647BD" w:rsidRDefault="00221D25">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4647BD" w:rsidRDefault="00221D25">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D25" w:rsidRDefault="00221D25">
      <w:pPr>
        <w:spacing w:after="0"/>
      </w:pPr>
      <w:r>
        <w:separator/>
      </w:r>
    </w:p>
  </w:footnote>
  <w:footnote w:type="continuationSeparator" w:id="0">
    <w:p w:rsidR="00221D25" w:rsidRDefault="00221D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7BD" w:rsidRDefault="00221D25">
    <w:pPr>
      <w:tabs>
        <w:tab w:val="center" w:pos="4513"/>
        <w:tab w:val="right" w:pos="9026"/>
      </w:tabs>
      <w:spacing w:after="0"/>
      <w:ind w:left="0"/>
      <w:jc w:val="left"/>
      <w:rPr>
        <w:sz w:val="20"/>
        <w:szCs w:val="20"/>
      </w:rPr>
    </w:pPr>
    <w:r>
      <w:rPr>
        <w:b/>
        <w:sz w:val="20"/>
        <w:szCs w:val="20"/>
      </w:rPr>
      <w:t>Call-Off Schedule 8 (Business Continuity and Disaster Recovery)</w:t>
    </w:r>
  </w:p>
  <w:p w:rsidR="004647BD" w:rsidRDefault="00221D25">
    <w:pPr>
      <w:tabs>
        <w:tab w:val="center" w:pos="4513"/>
        <w:tab w:val="right" w:pos="9026"/>
      </w:tabs>
      <w:spacing w:after="0"/>
      <w:ind w:left="0"/>
      <w:jc w:val="left"/>
      <w:rPr>
        <w:sz w:val="20"/>
        <w:szCs w:val="20"/>
      </w:rPr>
    </w:pPr>
    <w:r>
      <w:rPr>
        <w:sz w:val="20"/>
        <w:szCs w:val="20"/>
      </w:rPr>
      <w:t>Call-Off Ref:</w:t>
    </w:r>
  </w:p>
  <w:p w:rsidR="004647BD" w:rsidRDefault="00221D25">
    <w:pPr>
      <w:tabs>
        <w:tab w:val="center" w:pos="4513"/>
        <w:tab w:val="right" w:pos="9026"/>
      </w:tabs>
      <w:spacing w:after="0"/>
      <w:ind w:left="0"/>
      <w:jc w:val="left"/>
      <w:rPr>
        <w:sz w:val="20"/>
        <w:szCs w:val="20"/>
      </w:rPr>
    </w:pPr>
    <w:r>
      <w:rPr>
        <w:sz w:val="20"/>
        <w:szCs w:val="20"/>
      </w:rPr>
      <w:t>Crown Copyright 2018</w:t>
    </w:r>
  </w:p>
  <w:p w:rsidR="004647BD" w:rsidRDefault="004647B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73673"/>
    <w:multiLevelType w:val="multilevel"/>
    <w:tmpl w:val="1E16B4B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DCC200A"/>
    <w:multiLevelType w:val="multilevel"/>
    <w:tmpl w:val="A7A02E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7BD"/>
    <w:rsid w:val="00221D25"/>
    <w:rsid w:val="004647BD"/>
    <w:rsid w:val="00BD0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F5B6EB-9984-4193-BD6D-D1D7EF976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D0F03"/>
    <w:pPr>
      <w:tabs>
        <w:tab w:val="center" w:pos="4513"/>
        <w:tab w:val="right" w:pos="9026"/>
      </w:tabs>
      <w:spacing w:after="0"/>
    </w:pPr>
  </w:style>
  <w:style w:type="character" w:customStyle="1" w:styleId="HeaderChar">
    <w:name w:val="Header Char"/>
    <w:basedOn w:val="DefaultParagraphFont"/>
    <w:link w:val="Header"/>
    <w:uiPriority w:val="99"/>
    <w:rsid w:val="00BD0F03"/>
  </w:style>
  <w:style w:type="paragraph" w:styleId="Footer">
    <w:name w:val="footer"/>
    <w:basedOn w:val="Normal"/>
    <w:link w:val="FooterChar"/>
    <w:uiPriority w:val="99"/>
    <w:unhideWhenUsed/>
    <w:rsid w:val="00BD0F03"/>
    <w:pPr>
      <w:tabs>
        <w:tab w:val="center" w:pos="4513"/>
        <w:tab w:val="right" w:pos="9026"/>
      </w:tabs>
      <w:spacing w:after="0"/>
    </w:pPr>
  </w:style>
  <w:style w:type="character" w:customStyle="1" w:styleId="FooterChar">
    <w:name w:val="Footer Char"/>
    <w:basedOn w:val="DefaultParagraphFont"/>
    <w:link w:val="Footer"/>
    <w:uiPriority w:val="99"/>
    <w:rsid w:val="00BD0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1997</Words>
  <Characters>11386</Characters>
  <Application>Microsoft Office Word</Application>
  <DocSecurity>0</DocSecurity>
  <Lines>94</Lines>
  <Paragraphs>26</Paragraphs>
  <ScaleCrop>false</ScaleCrop>
  <Company>Cabinet Office</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Whitehurst</cp:lastModifiedBy>
  <cp:revision>2</cp:revision>
  <dcterms:created xsi:type="dcterms:W3CDTF">2020-07-01T14:37:00Z</dcterms:created>
  <dcterms:modified xsi:type="dcterms:W3CDTF">2020-07-01T14:38:00Z</dcterms:modified>
</cp:coreProperties>
</file>